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przedstawia piąty raport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opublikowała piąty raport zrównoważonego rozwoju zgodnie ze standardami GRI. W czasie globalnej pandemii firma w pełni osiągnęła 50% z 75 długoterminowych celów w zakresie ludzi, planety i dobrobytu.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i ambicja są kluczem do realizacji zmian. Łatwo jest założyć, że małe, mało wpływowe cele są najłatwiejsze do osiągnięcia, ale nasze doświadczenie mówi nam coś przeciwnego", mówi Ernesto Domínguez, prezes i dyrektor generalny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swoim piątym raporcie na temat zrównoważonego rozwoju </w:t>
      </w:r>
      <w:r>
        <w:rPr>
          <w:rFonts w:ascii="calibri" w:hAnsi="calibri" w:eastAsia="calibri" w:cs="calibri"/>
          <w:sz w:val="24"/>
          <w:szCs w:val="24"/>
        </w:rPr>
        <w:t xml:space="preserve">Toyota Material Handling Europe potwierdza swoje ambicje, aby pozostać liderem w branży, również w zakresie zrównoważonego rozwoju. Wspierając cele zrównoważonego rozwoju swoich partnerów biznesowych, firma poprawia swój wpływ na zrównoważony rozwój w całym łańcuchu wartości. Po pierwszej dekadzie działań na rzecz klimatu, w której firma zmniejszyła bezwzględne emisje o 29%, firma zobowiązała się do ustanowienia celów opartych na nauce, aby pójść jeszcze dalej.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 internetowej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przedstawia-piaty-raport-zrownowazonego-rozwoju/?utm_source=biurop&amp;amp;amp;utm_medium=link&amp;amp;amp;utm_campain=pr&amp;amp;amp;utm_term=5-th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2025-12-25T09:10:43+01:00</dcterms:created>
  <dcterms:modified xsi:type="dcterms:W3CDTF">2025-12-25T09:10:43+01:00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